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  <w:t>附件1：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2022年度市重点研发计划（农业）项目指南</w:t>
      </w:r>
    </w:p>
    <w:bookmarkEnd w:id="0"/>
    <w:p>
      <w:pPr>
        <w:spacing w:line="360" w:lineRule="exact"/>
        <w:ind w:firstLine="600" w:firstLineChars="200"/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</w:pPr>
    </w:p>
    <w:p>
      <w:pPr>
        <w:widowControl/>
        <w:adjustRightInd w:val="0"/>
        <w:snapToGrid w:val="0"/>
        <w:spacing w:line="520" w:lineRule="exact"/>
        <w:ind w:firstLine="600" w:firstLineChars="200"/>
        <w:outlineLvl w:val="0"/>
        <w:rPr>
          <w:rFonts w:hint="default" w:ascii="Times New Roman" w:hAnsi="Times New Roman" w:eastAsia="方正黑体_GBK" w:cs="Times New Roman"/>
          <w:kern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  <w:t>一、粮油果蔬育种与加工</w:t>
      </w:r>
    </w:p>
    <w:p>
      <w:pPr>
        <w:widowControl/>
        <w:adjustRightInd w:val="0"/>
        <w:snapToGrid w:val="0"/>
        <w:spacing w:line="520" w:lineRule="exact"/>
        <w:ind w:firstLine="60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G101 / S101粮食作物丰产优质新品种选育、果蔬及特色作物优异基因挖掘与种质资源创制、基因编辑精准育种、农作物生态种植关键技术</w:t>
      </w:r>
    </w:p>
    <w:p>
      <w:pPr>
        <w:widowControl/>
        <w:adjustRightInd w:val="0"/>
        <w:snapToGrid w:val="0"/>
        <w:spacing w:line="520" w:lineRule="exact"/>
        <w:ind w:firstLine="60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G102 / S102 富营养大米制品生产、果蔬采后商品化处理、果蔬发酵菌剂制备、高端啤酒酿造、深加工废弃物综合利用关键技术</w:t>
      </w:r>
    </w:p>
    <w:p>
      <w:pPr>
        <w:widowControl/>
        <w:adjustRightInd w:val="0"/>
        <w:snapToGrid w:val="0"/>
        <w:spacing w:line="520" w:lineRule="exact"/>
        <w:ind w:firstLine="60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G103 / S103食品营养成分提取、农作物蛋白质（维生素）生物合成、食品减菌化加工技术和保鲜技术</w:t>
      </w:r>
    </w:p>
    <w:p>
      <w:pPr>
        <w:widowControl/>
        <w:adjustRightInd w:val="0"/>
        <w:snapToGrid w:val="0"/>
        <w:spacing w:line="520" w:lineRule="exact"/>
        <w:ind w:firstLine="60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G104 / S104稻麦绿色智慧化生产、农产品自动化加工、食品制造数字智能控制技术及装备</w:t>
      </w:r>
    </w:p>
    <w:p>
      <w:pPr>
        <w:widowControl/>
        <w:adjustRightInd w:val="0"/>
        <w:snapToGrid w:val="0"/>
        <w:spacing w:line="520" w:lineRule="exact"/>
        <w:ind w:firstLine="60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highlight w:val="none"/>
        </w:rPr>
        <w:t>二、肉制品加工</w:t>
      </w:r>
    </w:p>
    <w:p>
      <w:pPr>
        <w:spacing w:line="560" w:lineRule="exact"/>
        <w:ind w:firstLine="567" w:firstLineChars="189"/>
        <w:jc w:val="left"/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G201 / S201肉制品加工品质控制、调理肉制品加工工艺、脂质氧化及抗氧化技术、肉制品风味物质测定与提取技术</w:t>
      </w:r>
    </w:p>
    <w:p>
      <w:pPr>
        <w:spacing w:line="560" w:lineRule="exact"/>
        <w:ind w:firstLine="567" w:firstLineChars="189"/>
        <w:jc w:val="left"/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G202 / S202水产保鲜加工技术、低致敏水产品加工技术、耐贮藏高水分水产干制品加工技术、水产加工副产物综合利用技术</w:t>
      </w:r>
    </w:p>
    <w:p>
      <w:pPr>
        <w:spacing w:line="560" w:lineRule="exact"/>
        <w:ind w:firstLine="567" w:firstLineChars="189"/>
        <w:jc w:val="left"/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G203 / S203肉制品防腐与保鲜技术、水产品仓储保鲜保活关键技术、畜禽水产重要疫病免疫技术</w:t>
      </w:r>
    </w:p>
    <w:p>
      <w:pPr>
        <w:spacing w:line="560" w:lineRule="exact"/>
        <w:ind w:firstLine="567" w:firstLineChars="189"/>
        <w:jc w:val="left"/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G204 / S204畜禽水产养殖信息监测与环境智能控制、肉制品微生物快速检测、生鲜农产品危害因子自动化检测等关键技术及产品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ODJmZGM0OTE2YjM5NzNlYjJlZjQ5N2Y4ZGE0MGYifQ=="/>
  </w:docVars>
  <w:rsids>
    <w:rsidRoot w:val="6A8E75DF"/>
    <w:rsid w:val="6A8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475</Characters>
  <Lines>0</Lines>
  <Paragraphs>0</Paragraphs>
  <TotalTime>0</TotalTime>
  <ScaleCrop>false</ScaleCrop>
  <LinksUpToDate>false</LinksUpToDate>
  <CharactersWithSpaces>492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2022-12-07T02:14:00Z</dcterms:created>
  <dc:creator>Shinoda</dc:creator>
  <cp:lastModifiedBy>Shinoda</cp:lastModifiedBy>
  <dcterms:modified xsi:type="dcterms:W3CDTF">2022-12-07T02:15:13Z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043A3F4CACA84560841BEF50030927BD</vt:lpwstr>
  </property>
</Properties>
</file>